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073028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4B0E3B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73028">
        <w:rPr>
          <w:rFonts w:ascii="Arial" w:hAnsi="Arial" w:cs="Arial"/>
          <w:sz w:val="20"/>
          <w:szCs w:val="20"/>
        </w:rPr>
        <w:t>03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073028" w:rsidRPr="00073028">
        <w:rPr>
          <w:rFonts w:ascii="Arial" w:hAnsi="Arial" w:cs="Arial"/>
          <w:sz w:val="20"/>
          <w:szCs w:val="20"/>
        </w:rPr>
        <w:t>Power Generation Joint Stock Corporation 3</w:t>
      </w:r>
      <w:r w:rsidR="00073028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financial statement</w:t>
      </w:r>
      <w:r w:rsidR="004B0E3B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CA41E5" w:rsidRDefault="00CA41E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1E5">
        <w:rPr>
          <w:rFonts w:ascii="Arial" w:hAnsi="Arial" w:cs="Arial"/>
          <w:sz w:val="20"/>
          <w:szCs w:val="20"/>
        </w:rPr>
        <w:t xml:space="preserve">I. Profit after tax </w:t>
      </w:r>
    </w:p>
    <w:p w:rsidR="00CA41E5" w:rsidRDefault="00CA41E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Pr="00CA41E5">
        <w:rPr>
          <w:rFonts w:ascii="Arial" w:hAnsi="Arial" w:cs="Arial"/>
          <w:sz w:val="20"/>
          <w:szCs w:val="20"/>
        </w:rPr>
        <w:t xml:space="preserve"> Target profit after tax </w:t>
      </w:r>
      <w:r>
        <w:rPr>
          <w:rFonts w:ascii="Arial" w:hAnsi="Arial" w:cs="Arial"/>
          <w:sz w:val="20"/>
          <w:szCs w:val="20"/>
        </w:rPr>
        <w:t xml:space="preserve">of </w:t>
      </w:r>
      <w:r w:rsidRPr="00CA41E5">
        <w:rPr>
          <w:rFonts w:ascii="Arial" w:hAnsi="Arial" w:cs="Arial"/>
          <w:sz w:val="20"/>
          <w:szCs w:val="20"/>
        </w:rPr>
        <w:t xml:space="preserve">this year compared to the previous year </w:t>
      </w:r>
    </w:p>
    <w:p w:rsidR="00CA41E5" w:rsidRDefault="00CA41E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1E5">
        <w:rPr>
          <w:rFonts w:ascii="Arial" w:hAnsi="Arial" w:cs="Arial"/>
          <w:sz w:val="20"/>
          <w:szCs w:val="20"/>
        </w:rPr>
        <w:t xml:space="preserve">Unit: </w:t>
      </w:r>
      <w:r w:rsidRPr="00CA41E5">
        <w:rPr>
          <w:rFonts w:ascii="Arial" w:hAnsi="Arial" w:cs="Arial"/>
          <w:sz w:val="20"/>
          <w:szCs w:val="20"/>
        </w:rPr>
        <w:t>VND</w:t>
      </w:r>
      <w:r w:rsidRPr="00CA41E5">
        <w:rPr>
          <w:rFonts w:ascii="Arial" w:hAnsi="Arial" w:cs="Arial"/>
          <w:sz w:val="20"/>
          <w:szCs w:val="20"/>
        </w:rPr>
        <w:t xml:space="preserve">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41E5" w:rsidTr="003D72CB">
        <w:tc>
          <w:tcPr>
            <w:tcW w:w="3192" w:type="dxa"/>
            <w:vMerge w:val="restart"/>
          </w:tcPr>
          <w:p w:rsidR="00CA41E5" w:rsidRDefault="00CA41E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6384" w:type="dxa"/>
            <w:gridSpan w:val="2"/>
          </w:tcPr>
          <w:p w:rsidR="00CA41E5" w:rsidRDefault="00CA41E5" w:rsidP="00CA41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1E5">
              <w:rPr>
                <w:rFonts w:ascii="Arial" w:hAnsi="Arial" w:cs="Arial"/>
                <w:sz w:val="20"/>
                <w:szCs w:val="20"/>
              </w:rPr>
              <w:t>Accumulated from the beginning of the year</w:t>
            </w:r>
          </w:p>
        </w:tc>
      </w:tr>
      <w:tr w:rsidR="00CA41E5" w:rsidTr="00CA41E5">
        <w:tc>
          <w:tcPr>
            <w:tcW w:w="3192" w:type="dxa"/>
            <w:vMerge/>
          </w:tcPr>
          <w:p w:rsidR="00CA41E5" w:rsidRDefault="00CA41E5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A41E5" w:rsidRDefault="00CA41E5" w:rsidP="00CA41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3192" w:type="dxa"/>
          </w:tcPr>
          <w:p w:rsidR="00CA41E5" w:rsidRDefault="00CA41E5" w:rsidP="00CA41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</w:tr>
      <w:tr w:rsidR="00CA41E5" w:rsidTr="00CA41E5">
        <w:tc>
          <w:tcPr>
            <w:tcW w:w="3192" w:type="dxa"/>
          </w:tcPr>
          <w:p w:rsidR="00CA41E5" w:rsidRDefault="0012502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1E5">
              <w:rPr>
                <w:rFonts w:ascii="Arial" w:hAnsi="Arial" w:cs="Arial"/>
                <w:sz w:val="20"/>
                <w:szCs w:val="20"/>
              </w:rPr>
              <w:t>Separate profit after tax</w:t>
            </w:r>
          </w:p>
        </w:tc>
        <w:tc>
          <w:tcPr>
            <w:tcW w:w="3192" w:type="dxa"/>
          </w:tcPr>
          <w:p w:rsidR="00CA41E5" w:rsidRDefault="0012502D" w:rsidP="001250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1E5">
              <w:rPr>
                <w:rFonts w:ascii="Arial" w:hAnsi="Arial" w:cs="Arial"/>
                <w:sz w:val="20"/>
                <w:szCs w:val="20"/>
              </w:rPr>
              <w:t>650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41E5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3192" w:type="dxa"/>
          </w:tcPr>
          <w:p w:rsidR="00CA41E5" w:rsidRDefault="0012502D" w:rsidP="001250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1E5">
              <w:rPr>
                <w:rFonts w:ascii="Arial" w:hAnsi="Arial" w:cs="Arial"/>
                <w:sz w:val="20"/>
                <w:szCs w:val="20"/>
              </w:rPr>
              <w:t>(890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41E5">
              <w:rPr>
                <w:rFonts w:ascii="Arial" w:hAnsi="Arial" w:cs="Arial"/>
                <w:sz w:val="20"/>
                <w:szCs w:val="20"/>
              </w:rPr>
              <w:t>863)</w:t>
            </w:r>
          </w:p>
        </w:tc>
      </w:tr>
      <w:tr w:rsidR="00CA41E5" w:rsidTr="00CA41E5">
        <w:tc>
          <w:tcPr>
            <w:tcW w:w="3192" w:type="dxa"/>
          </w:tcPr>
          <w:p w:rsidR="00CA41E5" w:rsidRDefault="0012502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in</w:t>
            </w:r>
            <w:r w:rsidRPr="00CA41E5">
              <w:rPr>
                <w:rFonts w:ascii="Arial" w:hAnsi="Arial" w:cs="Arial"/>
                <w:sz w:val="20"/>
                <w:szCs w:val="20"/>
              </w:rPr>
              <w:t xml:space="preserve"> the c</w:t>
            </w:r>
            <w:r>
              <w:rPr>
                <w:rFonts w:ascii="Arial" w:hAnsi="Arial" w:cs="Arial"/>
                <w:sz w:val="20"/>
                <w:szCs w:val="20"/>
              </w:rPr>
              <w:t>onsolidated financial statement</w:t>
            </w:r>
          </w:p>
        </w:tc>
        <w:tc>
          <w:tcPr>
            <w:tcW w:w="3192" w:type="dxa"/>
          </w:tcPr>
          <w:p w:rsidR="00CA41E5" w:rsidRDefault="0012502D" w:rsidP="001250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1E5">
              <w:rPr>
                <w:rFonts w:ascii="Arial" w:hAnsi="Arial" w:cs="Arial"/>
                <w:sz w:val="20"/>
                <w:szCs w:val="20"/>
              </w:rPr>
              <w:t>904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41E5">
              <w:rPr>
                <w:rFonts w:ascii="Arial" w:hAnsi="Arial" w:cs="Arial"/>
                <w:sz w:val="20"/>
                <w:szCs w:val="20"/>
              </w:rPr>
              <w:t>091</w:t>
            </w:r>
          </w:p>
        </w:tc>
        <w:tc>
          <w:tcPr>
            <w:tcW w:w="3192" w:type="dxa"/>
          </w:tcPr>
          <w:p w:rsidR="00CA41E5" w:rsidRDefault="0012502D" w:rsidP="001250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(853,</w:t>
            </w:r>
            <w:r w:rsidRPr="00CA41E5">
              <w:rPr>
                <w:rFonts w:ascii="Arial" w:hAnsi="Arial" w:cs="Arial"/>
                <w:sz w:val="20"/>
                <w:szCs w:val="20"/>
              </w:rPr>
              <w:t>532)</w:t>
            </w:r>
          </w:p>
        </w:tc>
      </w:tr>
    </w:tbl>
    <w:p w:rsidR="00CA41E5" w:rsidRDefault="00CA41E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0A0C" w:rsidRDefault="00CA41E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1E5">
        <w:rPr>
          <w:rFonts w:ascii="Arial" w:hAnsi="Arial" w:cs="Arial"/>
          <w:sz w:val="20"/>
          <w:szCs w:val="20"/>
        </w:rPr>
        <w:t xml:space="preserve">Note: (*) Power Generation </w:t>
      </w:r>
      <w:r w:rsidR="00795EA8">
        <w:rPr>
          <w:rFonts w:ascii="Arial" w:hAnsi="Arial" w:cs="Arial"/>
          <w:sz w:val="20"/>
          <w:szCs w:val="20"/>
        </w:rPr>
        <w:t xml:space="preserve">Joint Stock </w:t>
      </w:r>
      <w:r w:rsidRPr="00CA41E5">
        <w:rPr>
          <w:rFonts w:ascii="Arial" w:hAnsi="Arial" w:cs="Arial"/>
          <w:sz w:val="20"/>
          <w:szCs w:val="20"/>
        </w:rPr>
        <w:t xml:space="preserve">Corporation 3 officially </w:t>
      </w:r>
      <w:r w:rsidR="00795EA8">
        <w:rPr>
          <w:rFonts w:ascii="Arial" w:hAnsi="Arial" w:cs="Arial"/>
          <w:sz w:val="20"/>
          <w:szCs w:val="20"/>
        </w:rPr>
        <w:t>transformed</w:t>
      </w:r>
      <w:r w:rsidRPr="00CA41E5">
        <w:rPr>
          <w:rFonts w:ascii="Arial" w:hAnsi="Arial" w:cs="Arial"/>
          <w:sz w:val="20"/>
          <w:szCs w:val="20"/>
        </w:rPr>
        <w:t xml:space="preserve"> </w:t>
      </w:r>
      <w:r w:rsidR="00795EA8">
        <w:rPr>
          <w:rFonts w:ascii="Arial" w:hAnsi="Arial" w:cs="Arial"/>
          <w:sz w:val="20"/>
          <w:szCs w:val="20"/>
        </w:rPr>
        <w:t>in</w:t>
      </w:r>
      <w:r w:rsidRPr="00CA41E5">
        <w:rPr>
          <w:rFonts w:ascii="Arial" w:hAnsi="Arial" w:cs="Arial"/>
          <w:sz w:val="20"/>
          <w:szCs w:val="20"/>
        </w:rPr>
        <w:t xml:space="preserve">to </w:t>
      </w:r>
      <w:r w:rsidR="00795EA8">
        <w:rPr>
          <w:rFonts w:ascii="Arial" w:hAnsi="Arial" w:cs="Arial"/>
          <w:sz w:val="20"/>
          <w:szCs w:val="20"/>
        </w:rPr>
        <w:t xml:space="preserve">Joint Stock Company on October 1, 2018. </w:t>
      </w:r>
      <w:r w:rsidRPr="00CA41E5">
        <w:rPr>
          <w:rFonts w:ascii="Arial" w:hAnsi="Arial" w:cs="Arial"/>
          <w:sz w:val="20"/>
          <w:szCs w:val="20"/>
        </w:rPr>
        <w:t>The comparative figures</w:t>
      </w:r>
      <w:r w:rsidR="00795EA8">
        <w:rPr>
          <w:rFonts w:ascii="Arial" w:hAnsi="Arial" w:cs="Arial"/>
          <w:sz w:val="20"/>
          <w:szCs w:val="20"/>
        </w:rPr>
        <w:t xml:space="preserve"> were</w:t>
      </w:r>
      <w:r w:rsidRPr="00CA41E5">
        <w:rPr>
          <w:rFonts w:ascii="Arial" w:hAnsi="Arial" w:cs="Arial"/>
          <w:sz w:val="20"/>
          <w:szCs w:val="20"/>
        </w:rPr>
        <w:t xml:space="preserve"> presented in the </w:t>
      </w:r>
      <w:r w:rsidR="00795EA8">
        <w:rPr>
          <w:rFonts w:ascii="Arial" w:hAnsi="Arial" w:cs="Arial"/>
          <w:sz w:val="20"/>
          <w:szCs w:val="20"/>
        </w:rPr>
        <w:t>financial statements for 2019 were</w:t>
      </w:r>
      <w:r w:rsidRPr="00CA41E5">
        <w:rPr>
          <w:rFonts w:ascii="Arial" w:hAnsi="Arial" w:cs="Arial"/>
          <w:sz w:val="20"/>
          <w:szCs w:val="20"/>
        </w:rPr>
        <w:t xml:space="preserve"> figures for the period </w:t>
      </w:r>
      <w:r w:rsidR="00740A0C">
        <w:rPr>
          <w:rFonts w:ascii="Arial" w:hAnsi="Arial" w:cs="Arial"/>
          <w:sz w:val="20"/>
          <w:szCs w:val="20"/>
        </w:rPr>
        <w:t xml:space="preserve">of </w:t>
      </w:r>
      <w:r w:rsidRPr="00CA41E5">
        <w:rPr>
          <w:rFonts w:ascii="Arial" w:hAnsi="Arial" w:cs="Arial"/>
          <w:sz w:val="20"/>
          <w:szCs w:val="20"/>
        </w:rPr>
        <w:t xml:space="preserve">from October 1, 2018 to December 31, 2018 of Power Generation </w:t>
      </w:r>
      <w:r w:rsidR="00740A0C">
        <w:rPr>
          <w:rFonts w:ascii="Arial" w:hAnsi="Arial" w:cs="Arial"/>
          <w:sz w:val="20"/>
          <w:szCs w:val="20"/>
        </w:rPr>
        <w:t xml:space="preserve">Joint Stock </w:t>
      </w:r>
      <w:r w:rsidRPr="00CA41E5">
        <w:rPr>
          <w:rFonts w:ascii="Arial" w:hAnsi="Arial" w:cs="Arial"/>
          <w:sz w:val="20"/>
          <w:szCs w:val="20"/>
        </w:rPr>
        <w:t>Corpo</w:t>
      </w:r>
      <w:r w:rsidR="00740A0C">
        <w:rPr>
          <w:rFonts w:ascii="Arial" w:hAnsi="Arial" w:cs="Arial"/>
          <w:sz w:val="20"/>
          <w:szCs w:val="20"/>
        </w:rPr>
        <w:t>ration 3 - Joint Stock Company</w:t>
      </w:r>
    </w:p>
    <w:p w:rsidR="00740A0C" w:rsidRDefault="00CA41E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1E5">
        <w:rPr>
          <w:rFonts w:ascii="Arial" w:hAnsi="Arial" w:cs="Arial"/>
          <w:sz w:val="20"/>
          <w:szCs w:val="20"/>
        </w:rPr>
        <w:t xml:space="preserve">Profit after tax of this year </w:t>
      </w:r>
      <w:r w:rsidR="00740A0C">
        <w:rPr>
          <w:rFonts w:ascii="Arial" w:hAnsi="Arial" w:cs="Arial"/>
          <w:sz w:val="20"/>
          <w:szCs w:val="20"/>
        </w:rPr>
        <w:t xml:space="preserve">was positive; the profit after tax </w:t>
      </w:r>
      <w:r w:rsidRPr="00CA41E5">
        <w:rPr>
          <w:rFonts w:ascii="Arial" w:hAnsi="Arial" w:cs="Arial"/>
          <w:sz w:val="20"/>
          <w:szCs w:val="20"/>
        </w:rPr>
        <w:t xml:space="preserve">of the previous year </w:t>
      </w:r>
      <w:r w:rsidR="00740A0C">
        <w:rPr>
          <w:rFonts w:ascii="Arial" w:hAnsi="Arial" w:cs="Arial"/>
          <w:sz w:val="20"/>
          <w:szCs w:val="20"/>
        </w:rPr>
        <w:t xml:space="preserve">was negative </w:t>
      </w:r>
      <w:r w:rsidRPr="00CA41E5">
        <w:rPr>
          <w:rFonts w:ascii="Arial" w:hAnsi="Arial" w:cs="Arial"/>
          <w:sz w:val="20"/>
          <w:szCs w:val="20"/>
        </w:rPr>
        <w:t xml:space="preserve">due to the following main reasons: </w:t>
      </w:r>
    </w:p>
    <w:p w:rsidR="0010357F" w:rsidRDefault="00CA41E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1E5">
        <w:rPr>
          <w:rFonts w:ascii="Arial" w:hAnsi="Arial" w:cs="Arial"/>
          <w:sz w:val="20"/>
          <w:szCs w:val="20"/>
        </w:rPr>
        <w:t>- According to financial regulations at the time of official transformation into a joint stock co</w:t>
      </w:r>
      <w:r w:rsidR="00740A0C">
        <w:rPr>
          <w:rFonts w:ascii="Arial" w:hAnsi="Arial" w:cs="Arial"/>
          <w:sz w:val="20"/>
          <w:szCs w:val="20"/>
        </w:rPr>
        <w:t>mpany in Article 21, Decree No.</w:t>
      </w:r>
      <w:r w:rsidRPr="00CA41E5">
        <w:rPr>
          <w:rFonts w:ascii="Arial" w:hAnsi="Arial" w:cs="Arial"/>
          <w:sz w:val="20"/>
          <w:szCs w:val="20"/>
        </w:rPr>
        <w:t>126/2017</w:t>
      </w:r>
      <w:r w:rsidR="00740A0C">
        <w:rPr>
          <w:rFonts w:ascii="Arial" w:hAnsi="Arial" w:cs="Arial"/>
          <w:sz w:val="20"/>
          <w:szCs w:val="20"/>
        </w:rPr>
        <w:t>/</w:t>
      </w:r>
      <w:r w:rsidRPr="00CA41E5">
        <w:rPr>
          <w:rFonts w:ascii="Arial" w:hAnsi="Arial" w:cs="Arial"/>
          <w:sz w:val="20"/>
          <w:szCs w:val="20"/>
        </w:rPr>
        <w:t xml:space="preserve">ND-CP dated November 16, 2017 of the Government on </w:t>
      </w:r>
      <w:r w:rsidR="00740A0C">
        <w:rPr>
          <w:rFonts w:ascii="Arial" w:hAnsi="Arial" w:cs="Arial"/>
          <w:sz w:val="20"/>
          <w:szCs w:val="20"/>
        </w:rPr>
        <w:t>moving the</w:t>
      </w:r>
      <w:r w:rsidRPr="00CA41E5">
        <w:rPr>
          <w:rFonts w:ascii="Arial" w:hAnsi="Arial" w:cs="Arial"/>
          <w:sz w:val="20"/>
          <w:szCs w:val="20"/>
        </w:rPr>
        <w:t xml:space="preserve"> State-owned enterprises and one-member limited liability companies invested by State enterprises with 100% of charter capital into joint-stock companies; </w:t>
      </w:r>
      <w:r w:rsidR="00740A0C">
        <w:rPr>
          <w:rFonts w:ascii="Arial" w:hAnsi="Arial" w:cs="Arial"/>
          <w:sz w:val="20"/>
          <w:szCs w:val="20"/>
        </w:rPr>
        <w:t>the Corporation reassessed the m</w:t>
      </w:r>
      <w:r w:rsidRPr="00CA41E5">
        <w:rPr>
          <w:rFonts w:ascii="Arial" w:hAnsi="Arial" w:cs="Arial"/>
          <w:sz w:val="20"/>
          <w:szCs w:val="20"/>
        </w:rPr>
        <w:t xml:space="preserve">onetary items in foreign currencies </w:t>
      </w:r>
      <w:r w:rsidR="00740A0C">
        <w:rPr>
          <w:rFonts w:ascii="Arial" w:hAnsi="Arial" w:cs="Arial"/>
          <w:sz w:val="20"/>
          <w:szCs w:val="20"/>
        </w:rPr>
        <w:t>on</w:t>
      </w:r>
      <w:r w:rsidRPr="00CA41E5">
        <w:rPr>
          <w:rFonts w:ascii="Arial" w:hAnsi="Arial" w:cs="Arial"/>
          <w:sz w:val="20"/>
          <w:szCs w:val="20"/>
        </w:rPr>
        <w:t xml:space="preserve"> September 30, 2018 with</w:t>
      </w:r>
      <w:r w:rsidR="00740A0C">
        <w:rPr>
          <w:rFonts w:ascii="Arial" w:hAnsi="Arial" w:cs="Arial"/>
          <w:sz w:val="20"/>
          <w:szCs w:val="20"/>
        </w:rPr>
        <w:t xml:space="preserve"> foreign exchange losses of VND 1,504 billion. </w:t>
      </w:r>
      <w:r w:rsidRPr="00CA41E5">
        <w:rPr>
          <w:rFonts w:ascii="Arial" w:hAnsi="Arial" w:cs="Arial"/>
          <w:sz w:val="20"/>
          <w:szCs w:val="20"/>
        </w:rPr>
        <w:t xml:space="preserve">These losses </w:t>
      </w:r>
      <w:r w:rsidR="00740A0C">
        <w:rPr>
          <w:rFonts w:ascii="Arial" w:hAnsi="Arial" w:cs="Arial"/>
          <w:sz w:val="20"/>
          <w:szCs w:val="20"/>
        </w:rPr>
        <w:t>were</w:t>
      </w:r>
      <w:r w:rsidRPr="00CA41E5">
        <w:rPr>
          <w:rFonts w:ascii="Arial" w:hAnsi="Arial" w:cs="Arial"/>
          <w:sz w:val="20"/>
          <w:szCs w:val="20"/>
        </w:rPr>
        <w:t xml:space="preserve"> not carried </w:t>
      </w:r>
      <w:r w:rsidR="00740A0C">
        <w:rPr>
          <w:rFonts w:ascii="Arial" w:hAnsi="Arial" w:cs="Arial"/>
          <w:sz w:val="20"/>
          <w:szCs w:val="20"/>
        </w:rPr>
        <w:t xml:space="preserve">over </w:t>
      </w:r>
      <w:r w:rsidRPr="00CA41E5">
        <w:rPr>
          <w:rFonts w:ascii="Arial" w:hAnsi="Arial" w:cs="Arial"/>
          <w:sz w:val="20"/>
          <w:szCs w:val="20"/>
        </w:rPr>
        <w:t>to the results of production and business activities in the period</w:t>
      </w:r>
      <w:r w:rsidR="00740A0C">
        <w:rPr>
          <w:rFonts w:ascii="Arial" w:hAnsi="Arial" w:cs="Arial"/>
          <w:sz w:val="20"/>
          <w:szCs w:val="20"/>
        </w:rPr>
        <w:t xml:space="preserve"> </w:t>
      </w:r>
      <w:r w:rsidR="0010357F">
        <w:rPr>
          <w:rFonts w:ascii="Arial" w:hAnsi="Arial" w:cs="Arial"/>
          <w:sz w:val="20"/>
          <w:szCs w:val="20"/>
        </w:rPr>
        <w:t xml:space="preserve">of from </w:t>
      </w:r>
      <w:r w:rsidR="0010357F" w:rsidRPr="0010357F">
        <w:rPr>
          <w:rFonts w:ascii="Arial" w:hAnsi="Arial" w:cs="Arial"/>
          <w:sz w:val="20"/>
          <w:szCs w:val="20"/>
        </w:rPr>
        <w:t>01</w:t>
      </w:r>
      <w:r w:rsidR="0010357F">
        <w:rPr>
          <w:rFonts w:ascii="Arial" w:hAnsi="Arial" w:cs="Arial"/>
          <w:sz w:val="20"/>
          <w:szCs w:val="20"/>
        </w:rPr>
        <w:t xml:space="preserve"> Jan 2018 to 30 Sep </w:t>
      </w:r>
      <w:r w:rsidR="0010357F" w:rsidRPr="0010357F">
        <w:rPr>
          <w:rFonts w:ascii="Arial" w:hAnsi="Arial" w:cs="Arial"/>
          <w:sz w:val="20"/>
          <w:szCs w:val="20"/>
        </w:rPr>
        <w:t>2018 and transferred to the joint stock company for monitoring and ha</w:t>
      </w:r>
      <w:r w:rsidR="0010357F">
        <w:rPr>
          <w:rFonts w:ascii="Arial" w:hAnsi="Arial" w:cs="Arial"/>
          <w:sz w:val="20"/>
          <w:szCs w:val="20"/>
        </w:rPr>
        <w:t>ndling according to regulations</w:t>
      </w:r>
    </w:p>
    <w:p w:rsidR="0024099C" w:rsidRDefault="0010357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57F">
        <w:rPr>
          <w:rFonts w:ascii="Arial" w:hAnsi="Arial" w:cs="Arial"/>
          <w:sz w:val="20"/>
          <w:szCs w:val="20"/>
        </w:rPr>
        <w:t>- All of the above exchange rate</w:t>
      </w:r>
      <w:r w:rsidR="004A7E66">
        <w:rPr>
          <w:rFonts w:ascii="Arial" w:hAnsi="Arial" w:cs="Arial"/>
          <w:sz w:val="20"/>
          <w:szCs w:val="20"/>
        </w:rPr>
        <w:t xml:space="preserve"> losses were</w:t>
      </w:r>
      <w:r w:rsidRPr="0010357F">
        <w:rPr>
          <w:rFonts w:ascii="Arial" w:hAnsi="Arial" w:cs="Arial"/>
          <w:sz w:val="20"/>
          <w:szCs w:val="20"/>
        </w:rPr>
        <w:t xml:space="preserve"> recorded into the business results</w:t>
      </w:r>
      <w:r w:rsidR="004A7E66">
        <w:rPr>
          <w:rFonts w:ascii="Arial" w:hAnsi="Arial" w:cs="Arial"/>
          <w:sz w:val="20"/>
          <w:szCs w:val="20"/>
        </w:rPr>
        <w:t xml:space="preserve"> of</w:t>
      </w:r>
      <w:r w:rsidRPr="0010357F">
        <w:rPr>
          <w:rFonts w:ascii="Arial" w:hAnsi="Arial" w:cs="Arial"/>
          <w:sz w:val="20"/>
          <w:szCs w:val="20"/>
        </w:rPr>
        <w:t xml:space="preserve"> from October 1, 2018 to December 31, 2018, after financ</w:t>
      </w:r>
      <w:r w:rsidR="0024099C">
        <w:rPr>
          <w:rFonts w:ascii="Arial" w:hAnsi="Arial" w:cs="Arial"/>
          <w:sz w:val="20"/>
          <w:szCs w:val="20"/>
        </w:rPr>
        <w:t>ial settlement and offsetting the</w:t>
      </w:r>
      <w:r w:rsidRPr="0010357F">
        <w:rPr>
          <w:rFonts w:ascii="Arial" w:hAnsi="Arial" w:cs="Arial"/>
          <w:sz w:val="20"/>
          <w:szCs w:val="20"/>
        </w:rPr>
        <w:t xml:space="preserve"> </w:t>
      </w:r>
      <w:r w:rsidR="0024099C" w:rsidRPr="0010357F">
        <w:rPr>
          <w:rFonts w:ascii="Arial" w:hAnsi="Arial" w:cs="Arial"/>
          <w:sz w:val="20"/>
          <w:szCs w:val="20"/>
        </w:rPr>
        <w:t>exchange rate difference</w:t>
      </w:r>
      <w:r w:rsidR="0024099C">
        <w:rPr>
          <w:rFonts w:ascii="Arial" w:hAnsi="Arial" w:cs="Arial"/>
          <w:sz w:val="20"/>
          <w:szCs w:val="20"/>
        </w:rPr>
        <w:t xml:space="preserve"> </w:t>
      </w:r>
      <w:r w:rsidRPr="0010357F">
        <w:rPr>
          <w:rFonts w:ascii="Arial" w:hAnsi="Arial" w:cs="Arial"/>
          <w:sz w:val="20"/>
          <w:szCs w:val="20"/>
        </w:rPr>
        <w:t>profit</w:t>
      </w:r>
      <w:r w:rsidR="004A7E66" w:rsidRPr="004A7E66">
        <w:rPr>
          <w:rFonts w:ascii="Arial" w:hAnsi="Arial" w:cs="Arial"/>
          <w:sz w:val="20"/>
          <w:szCs w:val="20"/>
        </w:rPr>
        <w:t xml:space="preserve"> </w:t>
      </w:r>
      <w:r w:rsidR="004A7E66">
        <w:rPr>
          <w:rFonts w:ascii="Arial" w:hAnsi="Arial" w:cs="Arial"/>
          <w:sz w:val="20"/>
          <w:szCs w:val="20"/>
        </w:rPr>
        <w:t xml:space="preserve">due to </w:t>
      </w:r>
      <w:r w:rsidRPr="0010357F">
        <w:rPr>
          <w:rFonts w:ascii="Arial" w:hAnsi="Arial" w:cs="Arial"/>
          <w:sz w:val="20"/>
          <w:szCs w:val="20"/>
        </w:rPr>
        <w:t xml:space="preserve">revaluation of monetary items in foreign currencies </w:t>
      </w:r>
      <w:r w:rsidR="0024099C">
        <w:rPr>
          <w:rFonts w:ascii="Arial" w:hAnsi="Arial" w:cs="Arial"/>
          <w:sz w:val="20"/>
          <w:szCs w:val="20"/>
        </w:rPr>
        <w:t>on December 31, 2018;</w:t>
      </w:r>
      <w:r w:rsidRPr="0010357F">
        <w:rPr>
          <w:rFonts w:ascii="Arial" w:hAnsi="Arial" w:cs="Arial"/>
          <w:sz w:val="20"/>
          <w:szCs w:val="20"/>
        </w:rPr>
        <w:t xml:space="preserve"> the amount of foreign exchange losses </w:t>
      </w:r>
      <w:r w:rsidR="0024099C">
        <w:rPr>
          <w:rFonts w:ascii="Arial" w:hAnsi="Arial" w:cs="Arial"/>
          <w:sz w:val="20"/>
          <w:szCs w:val="20"/>
        </w:rPr>
        <w:t xml:space="preserve">were </w:t>
      </w:r>
      <w:r w:rsidRPr="0010357F">
        <w:rPr>
          <w:rFonts w:ascii="Arial" w:hAnsi="Arial" w:cs="Arial"/>
          <w:sz w:val="20"/>
          <w:szCs w:val="20"/>
        </w:rPr>
        <w:t>recorded in financial expenses of October 1, 2018 to December 31, 2018</w:t>
      </w:r>
      <w:r w:rsidR="0024099C">
        <w:rPr>
          <w:rFonts w:ascii="Arial" w:hAnsi="Arial" w:cs="Arial"/>
          <w:sz w:val="20"/>
          <w:szCs w:val="20"/>
        </w:rPr>
        <w:t>: VND 1,239 billion</w:t>
      </w:r>
    </w:p>
    <w:p w:rsidR="0024099C" w:rsidRDefault="0024099C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1.2. </w:t>
      </w:r>
      <w:r w:rsidR="0010357F" w:rsidRPr="0010357F">
        <w:rPr>
          <w:rFonts w:ascii="Arial" w:hAnsi="Arial" w:cs="Arial"/>
          <w:sz w:val="20"/>
          <w:szCs w:val="20"/>
        </w:rPr>
        <w:t xml:space="preserve">Profit after tax after auditing and before auditing </w:t>
      </w:r>
    </w:p>
    <w:p w:rsidR="0024099C" w:rsidRDefault="0024099C" w:rsidP="002409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1E5">
        <w:rPr>
          <w:rFonts w:ascii="Arial" w:hAnsi="Arial" w:cs="Arial"/>
          <w:sz w:val="20"/>
          <w:szCs w:val="20"/>
        </w:rPr>
        <w:t xml:space="preserve">Unit: VND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747"/>
        <w:gridCol w:w="1890"/>
        <w:gridCol w:w="1890"/>
        <w:gridCol w:w="1908"/>
      </w:tblGrid>
      <w:tr w:rsidR="0024099C" w:rsidTr="00631CC7">
        <w:tc>
          <w:tcPr>
            <w:tcW w:w="2141" w:type="dxa"/>
            <w:vMerge w:val="restart"/>
          </w:tcPr>
          <w:p w:rsidR="0024099C" w:rsidRDefault="0024099C" w:rsidP="0061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7435" w:type="dxa"/>
            <w:gridSpan w:val="4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1E5">
              <w:rPr>
                <w:rFonts w:ascii="Arial" w:hAnsi="Arial" w:cs="Arial"/>
                <w:sz w:val="20"/>
                <w:szCs w:val="20"/>
              </w:rPr>
              <w:t>Accumulated from the beginning of the year</w:t>
            </w:r>
          </w:p>
        </w:tc>
      </w:tr>
      <w:tr w:rsidR="0024099C" w:rsidTr="0024099C">
        <w:tc>
          <w:tcPr>
            <w:tcW w:w="2141" w:type="dxa"/>
            <w:vMerge/>
          </w:tcPr>
          <w:p w:rsidR="0024099C" w:rsidRDefault="0024099C" w:rsidP="0061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auditing</w:t>
            </w:r>
          </w:p>
        </w:tc>
        <w:tc>
          <w:tcPr>
            <w:tcW w:w="1890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auditing</w:t>
            </w:r>
          </w:p>
        </w:tc>
        <w:tc>
          <w:tcPr>
            <w:tcW w:w="1890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908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24099C" w:rsidTr="0024099C">
        <w:tc>
          <w:tcPr>
            <w:tcW w:w="2141" w:type="dxa"/>
          </w:tcPr>
          <w:p w:rsidR="0024099C" w:rsidRDefault="0024099C" w:rsidP="0061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1E5">
              <w:rPr>
                <w:rFonts w:ascii="Arial" w:hAnsi="Arial" w:cs="Arial"/>
                <w:sz w:val="20"/>
                <w:szCs w:val="20"/>
              </w:rPr>
              <w:t>Separate profit after tax</w:t>
            </w:r>
          </w:p>
        </w:tc>
        <w:tc>
          <w:tcPr>
            <w:tcW w:w="1747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57F">
              <w:rPr>
                <w:rFonts w:ascii="Arial" w:hAnsi="Arial" w:cs="Arial"/>
                <w:sz w:val="20"/>
                <w:szCs w:val="20"/>
              </w:rPr>
              <w:t>650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57F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890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57F">
              <w:rPr>
                <w:rFonts w:ascii="Arial" w:hAnsi="Arial" w:cs="Arial"/>
                <w:sz w:val="20"/>
                <w:szCs w:val="20"/>
              </w:rPr>
              <w:t>686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57F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890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57F">
              <w:rPr>
                <w:rFonts w:ascii="Arial" w:hAnsi="Arial" w:cs="Arial"/>
                <w:sz w:val="20"/>
                <w:szCs w:val="20"/>
              </w:rPr>
              <w:t>- 36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57F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908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103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099C" w:rsidTr="0024099C">
        <w:tc>
          <w:tcPr>
            <w:tcW w:w="2141" w:type="dxa"/>
          </w:tcPr>
          <w:p w:rsidR="0024099C" w:rsidRDefault="0024099C" w:rsidP="0061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in</w:t>
            </w:r>
            <w:r w:rsidRPr="00CA41E5">
              <w:rPr>
                <w:rFonts w:ascii="Arial" w:hAnsi="Arial" w:cs="Arial"/>
                <w:sz w:val="20"/>
                <w:szCs w:val="20"/>
              </w:rPr>
              <w:t xml:space="preserve"> the c</w:t>
            </w:r>
            <w:r>
              <w:rPr>
                <w:rFonts w:ascii="Arial" w:hAnsi="Arial" w:cs="Arial"/>
                <w:sz w:val="20"/>
                <w:szCs w:val="20"/>
              </w:rPr>
              <w:t>onsolidated financial statement</w:t>
            </w:r>
          </w:p>
        </w:tc>
        <w:tc>
          <w:tcPr>
            <w:tcW w:w="1747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57F">
              <w:rPr>
                <w:rFonts w:ascii="Arial" w:hAnsi="Arial" w:cs="Arial"/>
                <w:sz w:val="20"/>
                <w:szCs w:val="20"/>
              </w:rPr>
              <w:t>904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57F">
              <w:rPr>
                <w:rFonts w:ascii="Arial" w:hAnsi="Arial" w:cs="Arial"/>
                <w:sz w:val="20"/>
                <w:szCs w:val="20"/>
              </w:rPr>
              <w:t>091</w:t>
            </w:r>
          </w:p>
        </w:tc>
        <w:tc>
          <w:tcPr>
            <w:tcW w:w="1890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57F">
              <w:rPr>
                <w:rFonts w:ascii="Arial" w:hAnsi="Arial" w:cs="Arial"/>
                <w:sz w:val="20"/>
                <w:szCs w:val="20"/>
              </w:rPr>
              <w:t>955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57F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890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57F">
              <w:rPr>
                <w:rFonts w:ascii="Arial" w:hAnsi="Arial" w:cs="Arial"/>
                <w:sz w:val="20"/>
                <w:szCs w:val="20"/>
              </w:rPr>
              <w:t>- 51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57F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908" w:type="dxa"/>
          </w:tcPr>
          <w:p w:rsidR="0024099C" w:rsidRDefault="0024099C" w:rsidP="00616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</w:tbl>
    <w:p w:rsidR="0024099C" w:rsidRDefault="0024099C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0FD0" w:rsidRDefault="0024099C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in</w:t>
      </w:r>
      <w:r w:rsidR="0010357F" w:rsidRPr="0010357F">
        <w:rPr>
          <w:rFonts w:ascii="Arial" w:hAnsi="Arial" w:cs="Arial"/>
          <w:sz w:val="20"/>
          <w:szCs w:val="20"/>
        </w:rPr>
        <w:t xml:space="preserve"> the separate financial statements after auditing decreased </w:t>
      </w:r>
      <w:r>
        <w:rPr>
          <w:rFonts w:ascii="Arial" w:hAnsi="Arial" w:cs="Arial"/>
          <w:sz w:val="20"/>
          <w:szCs w:val="20"/>
        </w:rPr>
        <w:t xml:space="preserve">by </w:t>
      </w:r>
      <w:r w:rsidRPr="0010357F">
        <w:rPr>
          <w:rFonts w:ascii="Arial" w:hAnsi="Arial" w:cs="Arial"/>
          <w:sz w:val="20"/>
          <w:szCs w:val="20"/>
        </w:rPr>
        <w:t>VND</w:t>
      </w:r>
      <w:r w:rsidRPr="001035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36.</w:t>
      </w:r>
      <w:r w:rsidR="0010357F" w:rsidRPr="0010357F">
        <w:rPr>
          <w:rFonts w:ascii="Arial" w:hAnsi="Arial" w:cs="Arial"/>
          <w:sz w:val="20"/>
          <w:szCs w:val="20"/>
        </w:rPr>
        <w:t>5 billion compared to the figures before auditing mainly because: The cost</w:t>
      </w:r>
      <w:r w:rsidR="000B0FD0">
        <w:rPr>
          <w:rFonts w:ascii="Arial" w:hAnsi="Arial" w:cs="Arial"/>
          <w:sz w:val="20"/>
          <w:szCs w:val="20"/>
        </w:rPr>
        <w:t xml:space="preserve"> of goods sold increased by </w:t>
      </w:r>
      <w:r w:rsidR="000B0FD0" w:rsidRPr="0010357F">
        <w:rPr>
          <w:rFonts w:ascii="Arial" w:hAnsi="Arial" w:cs="Arial"/>
          <w:sz w:val="20"/>
          <w:szCs w:val="20"/>
        </w:rPr>
        <w:t>VND</w:t>
      </w:r>
      <w:r w:rsidR="000B0FD0">
        <w:rPr>
          <w:rFonts w:ascii="Arial" w:hAnsi="Arial" w:cs="Arial"/>
          <w:sz w:val="20"/>
          <w:szCs w:val="20"/>
        </w:rPr>
        <w:t xml:space="preserve"> 50.</w:t>
      </w:r>
      <w:r w:rsidR="0010357F" w:rsidRPr="0010357F">
        <w:rPr>
          <w:rFonts w:ascii="Arial" w:hAnsi="Arial" w:cs="Arial"/>
          <w:sz w:val="20"/>
          <w:szCs w:val="20"/>
        </w:rPr>
        <w:t>5 billion</w:t>
      </w:r>
      <w:r w:rsidR="000B0FD0">
        <w:rPr>
          <w:rFonts w:ascii="Arial" w:hAnsi="Arial" w:cs="Arial"/>
          <w:sz w:val="20"/>
          <w:szCs w:val="20"/>
        </w:rPr>
        <w:t>;</w:t>
      </w:r>
      <w:r w:rsidR="0010357F" w:rsidRPr="0010357F">
        <w:rPr>
          <w:rFonts w:ascii="Arial" w:hAnsi="Arial" w:cs="Arial"/>
          <w:sz w:val="20"/>
          <w:szCs w:val="20"/>
        </w:rPr>
        <w:t xml:space="preserve"> the </w:t>
      </w:r>
      <w:r w:rsidR="000B0FD0">
        <w:rPr>
          <w:rFonts w:ascii="Arial" w:hAnsi="Arial" w:cs="Arial"/>
          <w:sz w:val="20"/>
          <w:szCs w:val="20"/>
        </w:rPr>
        <w:t>corporate income tax</w:t>
      </w:r>
      <w:r w:rsidR="0010357F" w:rsidRPr="0010357F">
        <w:rPr>
          <w:rFonts w:ascii="Arial" w:hAnsi="Arial" w:cs="Arial"/>
          <w:sz w:val="20"/>
          <w:szCs w:val="20"/>
        </w:rPr>
        <w:t xml:space="preserve"> decreased by </w:t>
      </w:r>
      <w:r w:rsidR="000B0FD0">
        <w:rPr>
          <w:rFonts w:ascii="Arial" w:hAnsi="Arial" w:cs="Arial"/>
          <w:sz w:val="20"/>
          <w:szCs w:val="20"/>
        </w:rPr>
        <w:t>VND 20.</w:t>
      </w:r>
      <w:r w:rsidR="0010357F" w:rsidRPr="0010357F">
        <w:rPr>
          <w:rFonts w:ascii="Arial" w:hAnsi="Arial" w:cs="Arial"/>
          <w:sz w:val="20"/>
          <w:szCs w:val="20"/>
        </w:rPr>
        <w:t xml:space="preserve">9 billion </w:t>
      </w:r>
    </w:p>
    <w:p w:rsidR="00CA41E5" w:rsidRDefault="0010357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57F">
        <w:rPr>
          <w:rFonts w:ascii="Arial" w:hAnsi="Arial" w:cs="Arial"/>
          <w:sz w:val="20"/>
          <w:szCs w:val="20"/>
        </w:rPr>
        <w:t xml:space="preserve">- Consolidated after-tax profit after auditing decreased by </w:t>
      </w:r>
      <w:r w:rsidR="000B0FD0" w:rsidRPr="0010357F">
        <w:rPr>
          <w:rFonts w:ascii="Arial" w:hAnsi="Arial" w:cs="Arial"/>
          <w:sz w:val="20"/>
          <w:szCs w:val="20"/>
        </w:rPr>
        <w:t>VND</w:t>
      </w:r>
      <w:r w:rsidR="000B0FD0" w:rsidRPr="0010357F">
        <w:rPr>
          <w:rFonts w:ascii="Arial" w:hAnsi="Arial" w:cs="Arial"/>
          <w:sz w:val="20"/>
          <w:szCs w:val="20"/>
        </w:rPr>
        <w:t xml:space="preserve"> </w:t>
      </w:r>
      <w:r w:rsidR="000B0FD0">
        <w:rPr>
          <w:rFonts w:ascii="Arial" w:hAnsi="Arial" w:cs="Arial"/>
          <w:sz w:val="20"/>
          <w:szCs w:val="20"/>
        </w:rPr>
        <w:t>51.</w:t>
      </w:r>
      <w:r w:rsidRPr="0010357F">
        <w:rPr>
          <w:rFonts w:ascii="Arial" w:hAnsi="Arial" w:cs="Arial"/>
          <w:sz w:val="20"/>
          <w:szCs w:val="20"/>
        </w:rPr>
        <w:t xml:space="preserve">5 billion compared to the pre-audited figures mainly due to: Cost of goods sold increased by </w:t>
      </w:r>
      <w:r w:rsidR="000B0FD0" w:rsidRPr="0010357F">
        <w:rPr>
          <w:rFonts w:ascii="Arial" w:hAnsi="Arial" w:cs="Arial"/>
          <w:sz w:val="20"/>
          <w:szCs w:val="20"/>
        </w:rPr>
        <w:t>VND</w:t>
      </w:r>
      <w:r w:rsidR="000B0FD0" w:rsidRPr="0010357F">
        <w:rPr>
          <w:rFonts w:ascii="Arial" w:hAnsi="Arial" w:cs="Arial"/>
          <w:sz w:val="20"/>
          <w:szCs w:val="20"/>
        </w:rPr>
        <w:t xml:space="preserve"> </w:t>
      </w:r>
      <w:r w:rsidR="000B0FD0">
        <w:rPr>
          <w:rFonts w:ascii="Arial" w:hAnsi="Arial" w:cs="Arial"/>
          <w:sz w:val="20"/>
          <w:szCs w:val="20"/>
        </w:rPr>
        <w:t>70.</w:t>
      </w:r>
      <w:r w:rsidRPr="0010357F">
        <w:rPr>
          <w:rFonts w:ascii="Arial" w:hAnsi="Arial" w:cs="Arial"/>
          <w:sz w:val="20"/>
          <w:szCs w:val="20"/>
        </w:rPr>
        <w:t>6 billion</w:t>
      </w:r>
      <w:r w:rsidR="000B0FD0">
        <w:rPr>
          <w:rFonts w:ascii="Arial" w:hAnsi="Arial" w:cs="Arial"/>
          <w:sz w:val="20"/>
          <w:szCs w:val="20"/>
        </w:rPr>
        <w:t xml:space="preserve">; </w:t>
      </w:r>
      <w:r w:rsidR="000B0FD0" w:rsidRPr="0010357F">
        <w:rPr>
          <w:rFonts w:ascii="Arial" w:hAnsi="Arial" w:cs="Arial"/>
          <w:sz w:val="20"/>
          <w:szCs w:val="20"/>
        </w:rPr>
        <w:t xml:space="preserve">the </w:t>
      </w:r>
      <w:r w:rsidR="000B0FD0">
        <w:rPr>
          <w:rFonts w:ascii="Arial" w:hAnsi="Arial" w:cs="Arial"/>
          <w:sz w:val="20"/>
          <w:szCs w:val="20"/>
        </w:rPr>
        <w:t>corporate income tax</w:t>
      </w:r>
      <w:r w:rsidR="000B0FD0" w:rsidRPr="0010357F">
        <w:rPr>
          <w:rFonts w:ascii="Arial" w:hAnsi="Arial" w:cs="Arial"/>
          <w:sz w:val="20"/>
          <w:szCs w:val="20"/>
        </w:rPr>
        <w:t xml:space="preserve"> decreased by</w:t>
      </w:r>
      <w:r w:rsidR="000B0FD0">
        <w:rPr>
          <w:rFonts w:ascii="Arial" w:hAnsi="Arial" w:cs="Arial"/>
          <w:sz w:val="20"/>
          <w:szCs w:val="20"/>
        </w:rPr>
        <w:t xml:space="preserve"> VND 24.6 billion </w:t>
      </w:r>
      <w:bookmarkStart w:id="0" w:name="_GoBack"/>
      <w:bookmarkEnd w:id="0"/>
    </w:p>
    <w:sectPr w:rsidR="00CA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73028"/>
    <w:rsid w:val="000A79D8"/>
    <w:rsid w:val="000B0FD0"/>
    <w:rsid w:val="000E15ED"/>
    <w:rsid w:val="000E5BBD"/>
    <w:rsid w:val="0010357F"/>
    <w:rsid w:val="0012502D"/>
    <w:rsid w:val="00125C9D"/>
    <w:rsid w:val="001654BA"/>
    <w:rsid w:val="00204DDC"/>
    <w:rsid w:val="0024099C"/>
    <w:rsid w:val="00244C92"/>
    <w:rsid w:val="0026711C"/>
    <w:rsid w:val="00293FEB"/>
    <w:rsid w:val="002B59F4"/>
    <w:rsid w:val="00303E63"/>
    <w:rsid w:val="00330005"/>
    <w:rsid w:val="00346788"/>
    <w:rsid w:val="003A771E"/>
    <w:rsid w:val="003B2570"/>
    <w:rsid w:val="00467BC0"/>
    <w:rsid w:val="00496733"/>
    <w:rsid w:val="004A7E66"/>
    <w:rsid w:val="004B0E3B"/>
    <w:rsid w:val="004C7900"/>
    <w:rsid w:val="005B0276"/>
    <w:rsid w:val="005E7D00"/>
    <w:rsid w:val="00695103"/>
    <w:rsid w:val="006E13A2"/>
    <w:rsid w:val="00701F46"/>
    <w:rsid w:val="007028B7"/>
    <w:rsid w:val="00740A0C"/>
    <w:rsid w:val="00745D9A"/>
    <w:rsid w:val="00795EA8"/>
    <w:rsid w:val="007D449B"/>
    <w:rsid w:val="007F7DB7"/>
    <w:rsid w:val="008078B6"/>
    <w:rsid w:val="0088081B"/>
    <w:rsid w:val="008854CF"/>
    <w:rsid w:val="00887C3A"/>
    <w:rsid w:val="008D5C54"/>
    <w:rsid w:val="00981C95"/>
    <w:rsid w:val="00A62855"/>
    <w:rsid w:val="00A81EB3"/>
    <w:rsid w:val="00AA01BA"/>
    <w:rsid w:val="00AF67BE"/>
    <w:rsid w:val="00B40E78"/>
    <w:rsid w:val="00BC16A6"/>
    <w:rsid w:val="00C324E9"/>
    <w:rsid w:val="00C72FFB"/>
    <w:rsid w:val="00CA41E5"/>
    <w:rsid w:val="00CA6F06"/>
    <w:rsid w:val="00CC15D8"/>
    <w:rsid w:val="00E11EBD"/>
    <w:rsid w:val="00E36A48"/>
    <w:rsid w:val="00ED31AF"/>
    <w:rsid w:val="00EF7457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67</cp:revision>
  <dcterms:created xsi:type="dcterms:W3CDTF">2019-10-16T10:03:00Z</dcterms:created>
  <dcterms:modified xsi:type="dcterms:W3CDTF">2020-04-12T11:33:00Z</dcterms:modified>
</cp:coreProperties>
</file>